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sz w:val="16"/>
                <w:szCs w:val="16"/>
              </w:rPr>
              <w:br w:type="page"/>
            </w:r>
            <w:r w:rsidRPr="00001E6F">
              <w:rPr>
                <w:b/>
                <w:bCs/>
                <w:sz w:val="16"/>
                <w:szCs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841E6B" w:rsidRDefault="00841E6B" w:rsidP="000A2C07">
      <w:pPr>
        <w:spacing w:after="0"/>
      </w:pPr>
    </w:p>
    <w:tbl>
      <w:tblPr>
        <w:tblW w:w="0" w:type="auto"/>
        <w:tblInd w:w="-106" w:type="dxa"/>
        <w:tblLook w:val="00A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71D21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:rsidR="00841E6B" w:rsidRDefault="00841E6B" w:rsidP="00671D21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tblLook w:val="00A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tcBorders>
              <w:top w:val="single" w:sz="4" w:space="0" w:color="17365D"/>
            </w:tcBorders>
            <w:shd w:val="clear" w:color="auto" w:fill="17365D"/>
            <w:vAlign w:val="center"/>
          </w:tcPr>
          <w:p w:rsidR="00841E6B" w:rsidRPr="00001E6F" w:rsidRDefault="00841E6B" w:rsidP="00671D2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01E6F">
              <w:rPr>
                <w:sz w:val="18"/>
                <w:szCs w:val="18"/>
              </w:rPr>
              <w:t>Igualdade entre Homens e Mulheres e Igualdade de Oportunidades e da não descriminação</w:t>
            </w:r>
          </w:p>
          <w:p w:rsidR="00841E6B" w:rsidRPr="00001E6F" w:rsidRDefault="00841E6B" w:rsidP="00671D2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1303/2013 do Parlamento Europeu e do Conselho, de 17 de Dezembro</w:t>
            </w:r>
          </w:p>
          <w:p w:rsidR="00841E6B" w:rsidRPr="00001E6F" w:rsidRDefault="00841E6B" w:rsidP="00671D21">
            <w:pPr>
              <w:spacing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001E6F">
              <w:rPr>
                <w:i/>
                <w:iCs/>
                <w:sz w:val="16"/>
                <w:szCs w:val="16"/>
              </w:rPr>
              <w:t>Regulamento (UE) n.º 1304/2013 do Parlamento Europeu e do Conselho, de 17 de Dezembro</w:t>
            </w:r>
          </w:p>
        </w:tc>
      </w:tr>
      <w:tr w:rsidR="00841E6B" w:rsidRPr="00001E6F">
        <w:trPr>
          <w:trHeight w:val="170"/>
        </w:trPr>
        <w:tc>
          <w:tcPr>
            <w:tcW w:w="9747" w:type="dxa"/>
            <w:tcBorders>
              <w:bottom w:val="single" w:sz="4" w:space="0" w:color="17365D"/>
            </w:tcBorders>
            <w:vAlign w:val="center"/>
          </w:tcPr>
          <w:p w:rsidR="00841E6B" w:rsidRPr="00001E6F" w:rsidRDefault="00841E6B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Outra legislação aplicável:</w:t>
            </w:r>
            <w:r w:rsidRPr="00001E6F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841E6B" w:rsidRDefault="00841E6B" w:rsidP="00671D21">
      <w:pPr>
        <w:spacing w:after="0"/>
        <w:rPr>
          <w:i/>
          <w:iCs/>
          <w:sz w:val="8"/>
          <w:szCs w:val="8"/>
        </w:rPr>
      </w:pPr>
    </w:p>
    <w:tbl>
      <w:tblPr>
        <w:tblW w:w="9756" w:type="dxa"/>
        <w:tblInd w:w="-106" w:type="dxa"/>
        <w:tblLayout w:type="fixed"/>
        <w:tblLook w:val="00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841E6B" w:rsidRPr="00001E6F">
        <w:tc>
          <w:tcPr>
            <w:tcW w:w="3510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Questão a verificar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i/>
                <w:iCs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1E6F">
              <w:rPr>
                <w:b/>
                <w:bCs/>
                <w:color w:val="FFFFFF"/>
                <w:sz w:val="16"/>
                <w:szCs w:val="16"/>
              </w:rPr>
              <w:t>A preencher pelas AG</w:t>
            </w:r>
          </w:p>
        </w:tc>
      </w:tr>
      <w:tr w:rsidR="00841E6B" w:rsidRPr="00001E6F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/>
              <w:bottom w:val="single" w:sz="4" w:space="0" w:color="17365D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0A2C07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Evidência documental</w:t>
            </w:r>
            <w:r w:rsidRPr="00001E6F">
              <w:rPr>
                <w:b/>
                <w:bCs/>
                <w:sz w:val="16"/>
                <w:szCs w:val="16"/>
              </w:rPr>
              <w:br/>
            </w:r>
            <w:r w:rsidRPr="00001E6F">
              <w:rPr>
                <w:b/>
                <w:bCs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841E6B" w:rsidRPr="00001E6F" w:rsidRDefault="00841E6B" w:rsidP="00ED65C0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01E6F">
              <w:rPr>
                <w:b/>
                <w:bCs/>
                <w:sz w:val="16"/>
                <w:szCs w:val="16"/>
              </w:rPr>
              <w:t>Observações</w:t>
            </w: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13AC2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Avaliação Global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Operação teve em conta as prioridades nacionais e/ou Europeias em matéria de igualdade entre homens e mulheres, igualdade de oportunidades e da não discriminação em razão da deficiência, raça ou origem étnica, religião ou crença, região, idade ou orientação sexual?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F64DA1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Igualdade no acesso ao emprego, no trabalho, no ensino e na formação profissional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promover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Operação promoveu a igualdade salarial entre todos, nomeadamente entre mulheres e homens?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41E6B" w:rsidRPr="00001E6F" w:rsidRDefault="00841E6B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577589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integração de pessoa com deficiência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AD670B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Promoção da conciliação da vida profissional e familiar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001E6F">
              <w:rPr>
                <w:i/>
                <w:iCs/>
                <w:sz w:val="16"/>
                <w:szCs w:val="16"/>
              </w:rPr>
              <w:t>Prevenção de práticas discriminatórias</w:t>
            </w: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262626"/>
                <w:sz w:val="12"/>
                <w:szCs w:val="12"/>
                <w:lang w:eastAsia="pt-PT"/>
              </w:rPr>
            </w:pPr>
            <w:r w:rsidRPr="00001E6F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41E6B" w:rsidRPr="00001E6F">
        <w:tc>
          <w:tcPr>
            <w:tcW w:w="351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001E6F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841E6B" w:rsidRPr="00001E6F" w:rsidRDefault="00841E6B" w:rsidP="00ED65C0">
            <w:pPr>
              <w:spacing w:before="40" w:after="40"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841E6B" w:rsidRDefault="00841E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41E6B" w:rsidRPr="007572C3" w:rsidRDefault="00841E6B" w:rsidP="00DE52A8">
      <w:pPr>
        <w:spacing w:after="120"/>
        <w:jc w:val="center"/>
        <w:rPr>
          <w:b/>
          <w:bCs/>
        </w:rPr>
      </w:pPr>
      <w:r w:rsidRPr="007572C3">
        <w:rPr>
          <w:b/>
          <w:bCs/>
        </w:rPr>
        <w:t>Anexos</w:t>
      </w:r>
    </w:p>
    <w:tbl>
      <w:tblPr>
        <w:tblW w:w="0" w:type="auto"/>
        <w:tblInd w:w="-106" w:type="dxa"/>
        <w:tblLook w:val="00A0"/>
      </w:tblPr>
      <w:tblGrid>
        <w:gridCol w:w="9747"/>
      </w:tblGrid>
      <w:tr w:rsidR="00841E6B" w:rsidRPr="00001E6F">
        <w:trPr>
          <w:trHeight w:val="170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6B4073">
            <w:pPr>
              <w:spacing w:before="40" w:after="4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01E6F">
              <w:rPr>
                <w:b/>
                <w:bCs/>
                <w:i/>
                <w:iCs/>
                <w:sz w:val="16"/>
                <w:szCs w:val="16"/>
              </w:rPr>
              <w:t>Identificação da Operação e do Beneficiário</w:t>
            </w:r>
          </w:p>
        </w:tc>
      </w:tr>
    </w:tbl>
    <w:p w:rsidR="00841E6B" w:rsidRPr="000A2C07" w:rsidRDefault="00841E6B" w:rsidP="006B4073">
      <w:pPr>
        <w:spacing w:after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12" w:space="0" w:color="17365D"/>
          <w:bottom w:val="single" w:sz="12" w:space="0" w:color="17365D"/>
        </w:tblBorders>
        <w:tblLayout w:type="fixed"/>
        <w:tblLook w:val="00A0"/>
      </w:tblPr>
      <w:tblGrid>
        <w:gridCol w:w="2376"/>
        <w:gridCol w:w="1417"/>
        <w:gridCol w:w="3544"/>
        <w:gridCol w:w="2410"/>
      </w:tblGrid>
      <w:tr w:rsidR="00841E6B" w:rsidRPr="00001E6F">
        <w:trPr>
          <w:trHeight w:val="170"/>
        </w:trPr>
        <w:tc>
          <w:tcPr>
            <w:tcW w:w="2376" w:type="dxa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/>
              <w:bottom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sz w:val="14"/>
                <w:szCs w:val="14"/>
              </w:rPr>
              <w:t>NIF, acrónimo e/ou nome da entidade beneficiária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Número da TO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color w:val="000000"/>
                <w:sz w:val="14"/>
                <w:szCs w:val="14"/>
                <w:lang w:eastAsia="pt-PT"/>
              </w:rPr>
              <w:t>XXXXXX (PO) - 99(TI) - 9999(ANO) - 99(sequência no PO/Ano</w:t>
            </w:r>
            <w:r w:rsidRPr="00001E6F">
              <w:rPr>
                <w:sz w:val="14"/>
                <w:szCs w:val="14"/>
              </w:rPr>
              <w:t>)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  <w:highlight w:val="yellow"/>
              </w:rPr>
            </w:pPr>
            <w:r w:rsidRPr="00001E6F">
              <w:rPr>
                <w:b/>
                <w:bCs/>
                <w:sz w:val="14"/>
                <w:szCs w:val="14"/>
                <w:highlight w:val="yellow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sz w:val="14"/>
                <w:szCs w:val="14"/>
                <w:highlight w:val="yellow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  <w:tc>
          <w:tcPr>
            <w:tcW w:w="3544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  <w:tr w:rsidR="00841E6B" w:rsidRPr="00001E6F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001E6F">
              <w:rPr>
                <w:b/>
                <w:bCs/>
                <w:sz w:val="14"/>
                <w:szCs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/>
            </w:tcBorders>
            <w:vAlign w:val="center"/>
          </w:tcPr>
          <w:p w:rsidR="00841E6B" w:rsidRPr="00001E6F" w:rsidRDefault="00841E6B" w:rsidP="00001E6F">
            <w:pPr>
              <w:spacing w:after="0" w:line="240" w:lineRule="auto"/>
              <w:rPr>
                <w:color w:val="000000"/>
                <w:sz w:val="14"/>
                <w:szCs w:val="14"/>
                <w:highlight w:val="yellow"/>
                <w:lang w:eastAsia="pt-PT"/>
              </w:rPr>
            </w:pPr>
            <w:r w:rsidRPr="00001E6F">
              <w:rPr>
                <w:sz w:val="14"/>
                <w:szCs w:val="14"/>
              </w:rPr>
              <w:t>dd-mm-aaaa</w:t>
            </w:r>
          </w:p>
        </w:tc>
      </w:tr>
    </w:tbl>
    <w:p w:rsidR="00841E6B" w:rsidRPr="006B4073" w:rsidRDefault="00841E6B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tblInd w:w="-106" w:type="dxa"/>
        <w:tblLook w:val="00A0"/>
      </w:tblPr>
      <w:tblGrid>
        <w:gridCol w:w="9747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C8082B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Igualdade de Género</w:t>
            </w:r>
          </w:p>
        </w:tc>
      </w:tr>
    </w:tbl>
    <w:p w:rsidR="00841E6B" w:rsidRDefault="00841E6B" w:rsidP="00521060">
      <w:pPr>
        <w:spacing w:after="0"/>
        <w:rPr>
          <w:i/>
          <w:iCs/>
          <w:sz w:val="8"/>
          <w:szCs w:val="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6B4073">
        <w:rPr>
          <w:i/>
          <w:iCs/>
          <w:sz w:val="18"/>
          <w:szCs w:val="18"/>
        </w:rPr>
        <w:t xml:space="preserve">Compromissos internacionais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Pacto Europeu para a Igualdade entre Homens e Mulheres (2011-2020), aprovado a 7 de março de 2011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Bases Gerais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841E6B" w:rsidRPr="00416B64" w:rsidRDefault="00841E6B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Trabalho, emprego e empreendedorismo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>
        <w:rPr>
          <w:sz w:val="16"/>
          <w:szCs w:val="16"/>
        </w:rPr>
        <w:t>das, puérperas e lactantes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>
        <w:rPr>
          <w:sz w:val="16"/>
          <w:szCs w:val="16"/>
        </w:rPr>
        <w:t>e Género no Mercado de Trabalho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>
        <w:rPr>
          <w:sz w:val="16"/>
          <w:szCs w:val="16"/>
        </w:rPr>
        <w:t>uma efetiva igualdade de género.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Conciliação vida profissional com a vida privada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>
        <w:rPr>
          <w:sz w:val="16"/>
          <w:szCs w:val="16"/>
        </w:rPr>
        <w:t xml:space="preserve"> familiar e a vida profissional.</w:t>
      </w:r>
      <w:bookmarkStart w:id="0" w:name="_GoBack"/>
      <w:bookmarkEnd w:id="0"/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>
        <w:rPr>
          <w:sz w:val="16"/>
          <w:szCs w:val="16"/>
        </w:rPr>
        <w:t>30 e, no mínimo, por oito horas.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841E6B" w:rsidRDefault="00841E6B" w:rsidP="006B40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6B4073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Discriminação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>
        <w:rPr>
          <w:sz w:val="16"/>
          <w:szCs w:val="16"/>
        </w:rPr>
        <w:t>omem, de 10 de Dezembro de 1948.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Mainstreaming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Parentalidade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>
        <w:rPr>
          <w:sz w:val="16"/>
          <w:szCs w:val="16"/>
        </w:rPr>
        <w:t xml:space="preserve"> como valores sociais eminentes.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>
        <w:rPr>
          <w:sz w:val="16"/>
          <w:szCs w:val="16"/>
        </w:rPr>
        <w:t xml:space="preserve">, alterado pelo </w:t>
      </w:r>
      <w:r w:rsidRPr="00FA6FCE">
        <w:rPr>
          <w:sz w:val="16"/>
          <w:szCs w:val="16"/>
        </w:rPr>
        <w:t xml:space="preserve">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 xml:space="preserve">70/2010, de 16 de </w:t>
      </w:r>
      <w:r>
        <w:rPr>
          <w:sz w:val="16"/>
          <w:szCs w:val="16"/>
        </w:rPr>
        <w:t>j</w:t>
      </w:r>
      <w:r w:rsidRPr="00FA6FCE">
        <w:rPr>
          <w:sz w:val="16"/>
          <w:szCs w:val="16"/>
        </w:rPr>
        <w:t>unho</w:t>
      </w:r>
      <w:r>
        <w:rPr>
          <w:sz w:val="16"/>
          <w:szCs w:val="16"/>
        </w:rPr>
        <w:t xml:space="preserve">,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 xml:space="preserve">n.º </w:t>
      </w:r>
      <w:r w:rsidRPr="00FA6FCE">
        <w:rPr>
          <w:sz w:val="16"/>
          <w:szCs w:val="16"/>
        </w:rPr>
        <w:t>133/2012, de 27 de junho</w:t>
      </w:r>
      <w:r>
        <w:rPr>
          <w:sz w:val="16"/>
          <w:szCs w:val="16"/>
        </w:rPr>
        <w:t xml:space="preserve"> e </w:t>
      </w:r>
      <w:r w:rsidRPr="00A116BC">
        <w:rPr>
          <w:sz w:val="16"/>
          <w:szCs w:val="16"/>
        </w:rPr>
        <w:t xml:space="preserve">pelo Decreto-lei </w:t>
      </w:r>
      <w:r>
        <w:rPr>
          <w:sz w:val="16"/>
          <w:szCs w:val="16"/>
        </w:rPr>
        <w:t>n.º</w:t>
      </w:r>
      <w:r w:rsidRPr="00FA6FCE">
        <w:rPr>
          <w:sz w:val="16"/>
          <w:szCs w:val="16"/>
        </w:rPr>
        <w:t xml:space="preserve"> </w:t>
      </w:r>
      <w:r>
        <w:rPr>
          <w:sz w:val="16"/>
          <w:szCs w:val="16"/>
        </w:rPr>
        <w:t>120/2015, de 1 de s</w:t>
      </w:r>
      <w:r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>
        <w:rPr>
          <w:sz w:val="16"/>
          <w:szCs w:val="16"/>
        </w:rPr>
        <w:t xml:space="preserve"> de proteção social convergente.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>
        <w:rPr>
          <w:sz w:val="16"/>
          <w:szCs w:val="16"/>
        </w:rPr>
        <w:t>bre responsabilidades parentais.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>
        <w:rPr>
          <w:sz w:val="16"/>
          <w:szCs w:val="16"/>
        </w:rPr>
        <w:t>cial aos pais e mães estudantes.</w:t>
      </w:r>
    </w:p>
    <w:tbl>
      <w:tblPr>
        <w:tblW w:w="0" w:type="auto"/>
        <w:tblInd w:w="2" w:type="dxa"/>
        <w:tblLook w:val="00A0"/>
      </w:tblPr>
      <w:tblGrid>
        <w:gridCol w:w="974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055BEE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da Violência Doméstica</w:t>
            </w:r>
          </w:p>
        </w:tc>
      </w:tr>
    </w:tbl>
    <w:p w:rsidR="00841E6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 xml:space="preserve">Vigilância eletrónica 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>
        <w:rPr>
          <w:sz w:val="16"/>
          <w:szCs w:val="16"/>
        </w:rPr>
        <w:t>artigo 5.º.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>
        <w:rPr>
          <w:sz w:val="16"/>
          <w:szCs w:val="16"/>
        </w:rPr>
        <w:t>e 26ª alteração ao Código Penal.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>
        <w:rPr>
          <w:sz w:val="16"/>
          <w:szCs w:val="16"/>
        </w:rPr>
        <w:t xml:space="preserve"> n.º 115/2009, de 12 de outubro.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841E6B" w:rsidRPr="0012628C" w:rsidRDefault="00841E6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>
        <w:rPr>
          <w:sz w:val="16"/>
          <w:szCs w:val="16"/>
        </w:rPr>
        <w:t>1.º do Código de Processo Penal.</w:t>
      </w:r>
    </w:p>
    <w:p w:rsidR="00841E6B" w:rsidRPr="00D3761B" w:rsidRDefault="00841E6B" w:rsidP="007E5168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D3761B">
        <w:rPr>
          <w:i/>
          <w:iCs/>
          <w:sz w:val="18"/>
          <w:szCs w:val="18"/>
        </w:rPr>
        <w:t>Violência doméstica – Técnicos de apoio à vítima</w:t>
      </w:r>
    </w:p>
    <w:p w:rsidR="00841E6B" w:rsidRDefault="00841E6B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>
        <w:rPr>
          <w:sz w:val="16"/>
          <w:szCs w:val="16"/>
        </w:rPr>
        <w:t>dos técnicos de apoio à vítima.</w:t>
      </w:r>
    </w:p>
    <w:tbl>
      <w:tblPr>
        <w:tblW w:w="0" w:type="auto"/>
        <w:tblInd w:w="2" w:type="dxa"/>
        <w:tblLook w:val="00A0"/>
      </w:tblPr>
      <w:tblGrid>
        <w:gridCol w:w="9746"/>
      </w:tblGrid>
      <w:tr w:rsidR="00841E6B" w:rsidRPr="00001E6F">
        <w:trPr>
          <w:trHeight w:val="283"/>
        </w:trPr>
        <w:tc>
          <w:tcPr>
            <w:tcW w:w="9747" w:type="dxa"/>
            <w:shd w:val="clear" w:color="auto" w:fill="17365D"/>
            <w:vAlign w:val="center"/>
          </w:tcPr>
          <w:p w:rsidR="00841E6B" w:rsidRPr="00001E6F" w:rsidRDefault="00841E6B" w:rsidP="009D6EB5">
            <w:pPr>
              <w:spacing w:after="0"/>
              <w:rPr>
                <w:i/>
                <w:iCs/>
                <w:sz w:val="20"/>
                <w:szCs w:val="20"/>
              </w:rPr>
            </w:pPr>
            <w:r w:rsidRPr="00001E6F">
              <w:rPr>
                <w:i/>
                <w:iCs/>
                <w:sz w:val="18"/>
                <w:szCs w:val="18"/>
              </w:rPr>
              <w:t>Legislação na área não discriminação em razão da deficiência</w:t>
            </w:r>
          </w:p>
        </w:tc>
      </w:tr>
    </w:tbl>
    <w:p w:rsidR="00841E6B" w:rsidRDefault="00841E6B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 xml:space="preserve">Bases gerais </w:t>
      </w:r>
    </w:p>
    <w:p w:rsidR="00841E6B" w:rsidRDefault="00841E6B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841E6B" w:rsidRPr="00A116BC" w:rsidRDefault="00841E6B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841E6B" w:rsidRPr="00386D84" w:rsidRDefault="00841E6B" w:rsidP="00386D84">
      <w:pPr>
        <w:pBdr>
          <w:bottom w:val="single" w:sz="4" w:space="1" w:color="17365D"/>
        </w:pBdr>
        <w:spacing w:after="0" w:line="240" w:lineRule="auto"/>
        <w:jc w:val="both"/>
        <w:rPr>
          <w:i/>
          <w:iCs/>
          <w:sz w:val="18"/>
          <w:szCs w:val="18"/>
        </w:rPr>
      </w:pPr>
      <w:r w:rsidRPr="00386D84">
        <w:rPr>
          <w:i/>
          <w:iCs/>
          <w:sz w:val="18"/>
          <w:szCs w:val="18"/>
        </w:rPr>
        <w:t>Igualdade no acesso ao emprego e à formação</w:t>
      </w:r>
    </w:p>
    <w:p w:rsidR="00841E6B" w:rsidRDefault="00841E6B" w:rsidP="00386D84">
      <w:pPr>
        <w:pStyle w:val="Bullet"/>
        <w:jc w:val="both"/>
        <w:rPr>
          <w:sz w:val="16"/>
          <w:szCs w:val="16"/>
        </w:rPr>
      </w:pPr>
      <w:hyperlink r:id="rId7" w:tgtFrame="_blank" w:tooltip="Link para • Decreto-lei n.º 290/2009, de 12 de outubro" w:history="1">
        <w:r w:rsidRPr="009D6EB5">
          <w:rPr>
            <w:sz w:val="16"/>
            <w:szCs w:val="16"/>
          </w:rPr>
          <w:t>Decreto-lei n.º 290/2009, de 12 de outubro</w:t>
        </w:r>
      </w:hyperlink>
      <w:r w:rsidRPr="009D6EB5">
        <w:rPr>
          <w:sz w:val="16"/>
          <w:szCs w:val="16"/>
        </w:rPr>
        <w:t xml:space="preserve">, com as alterações introduzidas pela </w:t>
      </w:r>
      <w:hyperlink r:id="rId8" w:tgtFrame="_blank" w:tooltip="Link para lei n.º 24/2011, de 16 de junho" w:history="1">
        <w:r w:rsidRPr="009D6EB5">
          <w:rPr>
            <w:sz w:val="16"/>
            <w:szCs w:val="16"/>
          </w:rPr>
          <w:t>lei n.º 24/2011, de 16 de junho</w:t>
        </w:r>
      </w:hyperlink>
      <w:r w:rsidRPr="009D6EB5">
        <w:rPr>
          <w:sz w:val="16"/>
          <w:szCs w:val="16"/>
        </w:rPr>
        <w:t xml:space="preserve">, pelo Decreto-lei n.º 131/2013, de 11 de setembro e pelo </w:t>
      </w:r>
      <w:hyperlink r:id="rId9" w:history="1">
        <w:r w:rsidRPr="009D6EB5">
          <w:rPr>
            <w:sz w:val="16"/>
            <w:szCs w:val="16"/>
          </w:rPr>
          <w:t>Decreto-lei n.º 108/2015, de 17 de junho</w:t>
        </w:r>
      </w:hyperlink>
      <w:r>
        <w:rPr>
          <w:sz w:val="16"/>
          <w:szCs w:val="16"/>
        </w:rPr>
        <w:t xml:space="preserve">, que o republica </w:t>
      </w:r>
      <w:r w:rsidRPr="00386D84">
        <w:rPr>
          <w:sz w:val="16"/>
          <w:szCs w:val="16"/>
        </w:rPr>
        <w:t>–</w:t>
      </w:r>
      <w:r>
        <w:rPr>
          <w:sz w:val="16"/>
          <w:szCs w:val="16"/>
        </w:rPr>
        <w:t xml:space="preserve"> diploma que c</w:t>
      </w:r>
      <w:r w:rsidRPr="009D6EB5">
        <w:rPr>
          <w:sz w:val="16"/>
          <w:szCs w:val="16"/>
        </w:rPr>
        <w:t xml:space="preserve">ria o Programa de </w:t>
      </w:r>
      <w:r>
        <w:rPr>
          <w:sz w:val="16"/>
          <w:szCs w:val="16"/>
        </w:rPr>
        <w:t>E</w:t>
      </w:r>
      <w:r w:rsidRPr="009D6EB5">
        <w:rPr>
          <w:sz w:val="16"/>
          <w:szCs w:val="16"/>
        </w:rPr>
        <w:t xml:space="preserve">mprego e </w:t>
      </w:r>
      <w:r>
        <w:rPr>
          <w:sz w:val="16"/>
          <w:szCs w:val="16"/>
        </w:rPr>
        <w:t>A</w:t>
      </w:r>
      <w:r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>
        <w:rPr>
          <w:sz w:val="16"/>
          <w:szCs w:val="16"/>
        </w:rPr>
        <w:t>.</w:t>
      </w:r>
    </w:p>
    <w:p w:rsidR="00841E6B" w:rsidRDefault="00841E6B" w:rsidP="00386D84">
      <w:pPr>
        <w:pStyle w:val="Bullet"/>
        <w:jc w:val="both"/>
        <w:rPr>
          <w:sz w:val="16"/>
          <w:szCs w:val="16"/>
        </w:rPr>
      </w:pPr>
      <w:hyperlink r:id="rId10" w:history="1">
        <w:r w:rsidRPr="009D6EB5">
          <w:rPr>
            <w:sz w:val="16"/>
            <w:szCs w:val="16"/>
          </w:rPr>
          <w:t>Despacho n.º 8376-B/2015, de 30 de julho</w:t>
        </w:r>
      </w:hyperlink>
      <w:r>
        <w:rPr>
          <w:sz w:val="16"/>
          <w:szCs w:val="16"/>
        </w:rPr>
        <w:t>, que d</w:t>
      </w:r>
      <w:r w:rsidRPr="009D6EB5">
        <w:rPr>
          <w:sz w:val="16"/>
          <w:szCs w:val="16"/>
        </w:rPr>
        <w:t>efine os aspetos técnicos necessários à execução do Programa</w:t>
      </w:r>
      <w:r>
        <w:rPr>
          <w:sz w:val="16"/>
          <w:szCs w:val="16"/>
        </w:rPr>
        <w:t xml:space="preserve"> </w:t>
      </w:r>
      <w:r w:rsidRPr="009D6EB5">
        <w:rPr>
          <w:sz w:val="16"/>
          <w:szCs w:val="16"/>
        </w:rPr>
        <w:t>de emprego e apoio à qualificação das pessoas com deficiência e incapacidade</w:t>
      </w:r>
      <w:r>
        <w:rPr>
          <w:sz w:val="16"/>
          <w:szCs w:val="16"/>
        </w:rPr>
        <w:t>.</w:t>
      </w:r>
    </w:p>
    <w:p w:rsidR="00841E6B" w:rsidRPr="009D6EB5" w:rsidRDefault="00841E6B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841E6B" w:rsidRPr="009D6EB5" w:rsidSect="009E03B0">
      <w:headerReference w:type="default" r:id="rId11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6B" w:rsidRDefault="00841E6B" w:rsidP="004F0B62">
      <w:pPr>
        <w:spacing w:after="0" w:line="240" w:lineRule="auto"/>
      </w:pPr>
      <w:r>
        <w:separator/>
      </w:r>
    </w:p>
  </w:endnote>
  <w:end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6B" w:rsidRDefault="00841E6B" w:rsidP="004F0B62">
      <w:pPr>
        <w:spacing w:after="0" w:line="240" w:lineRule="auto"/>
      </w:pPr>
      <w:r>
        <w:separator/>
      </w:r>
    </w:p>
  </w:footnote>
  <w:footnote w:type="continuationSeparator" w:id="0">
    <w:p w:rsidR="00841E6B" w:rsidRDefault="00841E6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9648"/>
    </w:tblGrid>
    <w:tr w:rsidR="00841E6B" w:rsidRPr="00001E6F" w:rsidTr="00767F78">
      <w:trPr>
        <w:trHeight w:val="851"/>
      </w:trPr>
      <w:tc>
        <w:tcPr>
          <w:tcW w:w="9648" w:type="dxa"/>
          <w:vAlign w:val="center"/>
        </w:tcPr>
        <w:p w:rsidR="00841E6B" w:rsidRPr="00001E6F" w:rsidRDefault="00841E6B" w:rsidP="00767F78">
          <w:pPr>
            <w:spacing w:after="0" w:line="240" w:lineRule="auto"/>
            <w:ind w:right="72"/>
            <w:jc w:val="center"/>
            <w:rPr>
              <w:sz w:val="20"/>
              <w:szCs w:val="20"/>
            </w:rPr>
          </w:pPr>
          <w:r>
            <w:object w:dxaOrig="2587" w:dyaOrig="10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03.5pt;height:32.25pt" o:ole="">
                <v:imagedata r:id="rId1" o:title=""/>
              </v:shape>
              <o:OLEObject Type="Embed" ProgID="Visio.Drawing.11" ShapeID="_x0000_i1028" DrawAspect="Content" ObjectID="_1513549882" r:id="rId2"/>
            </w:object>
          </w:r>
          <w:r>
            <w:tab/>
          </w:r>
          <w:r>
            <w:tab/>
          </w:r>
          <w:r>
            <w:pict>
              <v:shape id="_x0000_i1029" type="#_x0000_t75" style="width:76.5pt;height:37.5pt">
                <v:imagedata r:id="rId3" o:title=""/>
              </v:shape>
            </w:pict>
          </w:r>
          <w:r>
            <w:t xml:space="preserve">  </w:t>
          </w:r>
          <w:r>
            <w:tab/>
          </w:r>
          <w:r>
            <w:pict>
              <v:shape id="_x0000_i1030" type="#_x0000_t75" style="width:98.25pt;height:37.5pt">
                <v:imagedata r:id="rId4" o:title=""/>
              </v:shape>
            </w:pict>
          </w:r>
        </w:p>
      </w:tc>
    </w:tr>
  </w:tbl>
  <w:p w:rsidR="00841E6B" w:rsidRDefault="00841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34" w:hanging="360"/>
      </w:pPr>
    </w:lvl>
    <w:lvl w:ilvl="2" w:tplc="0816001B">
      <w:start w:val="1"/>
      <w:numFmt w:val="lowerRoman"/>
      <w:lvlText w:val="%3."/>
      <w:lvlJc w:val="right"/>
      <w:pPr>
        <w:ind w:left="2254" w:hanging="180"/>
      </w:pPr>
    </w:lvl>
    <w:lvl w:ilvl="3" w:tplc="0816000F">
      <w:start w:val="1"/>
      <w:numFmt w:val="decimal"/>
      <w:lvlText w:val="%4."/>
      <w:lvlJc w:val="left"/>
      <w:pPr>
        <w:ind w:left="2974" w:hanging="360"/>
      </w:pPr>
    </w:lvl>
    <w:lvl w:ilvl="4" w:tplc="08160019">
      <w:start w:val="1"/>
      <w:numFmt w:val="lowerLetter"/>
      <w:lvlText w:val="%5."/>
      <w:lvlJc w:val="left"/>
      <w:pPr>
        <w:ind w:left="3694" w:hanging="360"/>
      </w:pPr>
    </w:lvl>
    <w:lvl w:ilvl="5" w:tplc="0816001B">
      <w:start w:val="1"/>
      <w:numFmt w:val="lowerRoman"/>
      <w:lvlText w:val="%6."/>
      <w:lvlJc w:val="right"/>
      <w:pPr>
        <w:ind w:left="4414" w:hanging="180"/>
      </w:pPr>
    </w:lvl>
    <w:lvl w:ilvl="6" w:tplc="0816000F">
      <w:start w:val="1"/>
      <w:numFmt w:val="decimal"/>
      <w:lvlText w:val="%7."/>
      <w:lvlJc w:val="left"/>
      <w:pPr>
        <w:ind w:left="5134" w:hanging="360"/>
      </w:pPr>
    </w:lvl>
    <w:lvl w:ilvl="7" w:tplc="08160019">
      <w:start w:val="1"/>
      <w:numFmt w:val="lowerLetter"/>
      <w:lvlText w:val="%8."/>
      <w:lvlJc w:val="left"/>
      <w:pPr>
        <w:ind w:left="5854" w:hanging="360"/>
      </w:pPr>
    </w:lvl>
    <w:lvl w:ilvl="8" w:tplc="0816001B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2E"/>
    <w:rsid w:val="00001E6F"/>
    <w:rsid w:val="00055BE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67F78"/>
    <w:rsid w:val="00784B57"/>
    <w:rsid w:val="00792D61"/>
    <w:rsid w:val="007A312F"/>
    <w:rsid w:val="007A7CD2"/>
    <w:rsid w:val="007C22BF"/>
    <w:rsid w:val="007C3B65"/>
    <w:rsid w:val="007E450D"/>
    <w:rsid w:val="007E5168"/>
    <w:rsid w:val="008003BC"/>
    <w:rsid w:val="00816F12"/>
    <w:rsid w:val="00820591"/>
    <w:rsid w:val="00821812"/>
    <w:rsid w:val="00834439"/>
    <w:rsid w:val="00841E6B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07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D670B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A4D2C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D65C0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249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49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49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49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249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249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249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249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249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249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249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2496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2496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2496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2496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2496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Bullet">
    <w:name w:val="Bullet"/>
    <w:basedOn w:val="ListParagraph"/>
    <w:link w:val="BulletCarcter"/>
    <w:uiPriority w:val="99"/>
    <w:rsid w:val="00B52496"/>
    <w:pPr>
      <w:numPr>
        <w:numId w:val="1"/>
      </w:numPr>
    </w:pPr>
  </w:style>
  <w:style w:type="character" w:customStyle="1" w:styleId="BulletCarcter">
    <w:name w:val="Bullet Carácter"/>
    <w:basedOn w:val="ListParagraphChar"/>
    <w:link w:val="Bullet"/>
    <w:uiPriority w:val="99"/>
    <w:locked/>
    <w:rsid w:val="00B52496"/>
  </w:style>
  <w:style w:type="paragraph" w:styleId="ListParagraph">
    <w:name w:val="List Paragraph"/>
    <w:basedOn w:val="Normal"/>
    <w:link w:val="ListParagraphChar"/>
    <w:uiPriority w:val="99"/>
    <w:qFormat/>
    <w:rsid w:val="00B52496"/>
    <w:pPr>
      <w:ind w:left="720"/>
    </w:pPr>
  </w:style>
  <w:style w:type="paragraph" w:customStyle="1" w:styleId="BulletSuublinhado">
    <w:name w:val="Bullet Suublinhado"/>
    <w:basedOn w:val="ListParagraph"/>
    <w:link w:val="BulletSuublinhadoCarcter"/>
    <w:uiPriority w:val="99"/>
    <w:rsid w:val="00B52496"/>
    <w:pPr>
      <w:spacing w:before="120" w:after="0" w:line="360" w:lineRule="auto"/>
      <w:ind w:hanging="360"/>
    </w:pPr>
    <w:rPr>
      <w:u w:val="single"/>
    </w:rPr>
  </w:style>
  <w:style w:type="character" w:customStyle="1" w:styleId="BulletSuublinhadoCarcter">
    <w:name w:val="Bullet Suublinhado Carácter"/>
    <w:basedOn w:val="ListParagraphChar"/>
    <w:link w:val="BulletSuublinhado"/>
    <w:uiPriority w:val="99"/>
    <w:locked/>
    <w:rsid w:val="00B52496"/>
    <w:rPr>
      <w:u w:val="single"/>
    </w:rPr>
  </w:style>
  <w:style w:type="paragraph" w:customStyle="1" w:styleId="Indentado">
    <w:name w:val="Indentado"/>
    <w:basedOn w:val="Normal"/>
    <w:link w:val="IndentadoCarcter"/>
    <w:uiPriority w:val="99"/>
    <w:rsid w:val="00B52496"/>
    <w:pPr>
      <w:ind w:left="708"/>
    </w:pPr>
  </w:style>
  <w:style w:type="character" w:customStyle="1" w:styleId="IndentadoCarcter">
    <w:name w:val="Indentado Carácter"/>
    <w:basedOn w:val="DefaultParagraphFont"/>
    <w:link w:val="Indentado"/>
    <w:uiPriority w:val="99"/>
    <w:locked/>
    <w:rsid w:val="00B52496"/>
  </w:style>
  <w:style w:type="paragraph" w:customStyle="1" w:styleId="Fonte">
    <w:name w:val="Fonte"/>
    <w:basedOn w:val="Normal"/>
    <w:link w:val="FonteCarcter"/>
    <w:uiPriority w:val="99"/>
    <w:rsid w:val="00B52496"/>
    <w:pPr>
      <w:jc w:val="center"/>
    </w:pPr>
    <w:rPr>
      <w:sz w:val="18"/>
      <w:szCs w:val="18"/>
    </w:rPr>
  </w:style>
  <w:style w:type="character" w:customStyle="1" w:styleId="FonteCarcter">
    <w:name w:val="Fonte Carácter"/>
    <w:basedOn w:val="DefaultParagraphFont"/>
    <w:link w:val="Fonte"/>
    <w:uiPriority w:val="99"/>
    <w:locked/>
    <w:rsid w:val="00B52496"/>
    <w:rPr>
      <w:sz w:val="18"/>
      <w:szCs w:val="18"/>
    </w:rPr>
  </w:style>
  <w:style w:type="paragraph" w:customStyle="1" w:styleId="TtuloTabela">
    <w:name w:val="TítuloTabela"/>
    <w:basedOn w:val="Indentado"/>
    <w:link w:val="TtuloTabelaCarcter"/>
    <w:uiPriority w:val="99"/>
    <w:rsid w:val="00B52496"/>
    <w:pPr>
      <w:ind w:left="0"/>
      <w:jc w:val="center"/>
    </w:pPr>
    <w:rPr>
      <w:b/>
      <w:bCs/>
      <w:sz w:val="20"/>
      <w:szCs w:val="20"/>
    </w:rPr>
  </w:style>
  <w:style w:type="character" w:customStyle="1" w:styleId="TtuloTabelaCarcter">
    <w:name w:val="TítuloTabela Carácter"/>
    <w:basedOn w:val="IndentadoCarcter"/>
    <w:link w:val="TtuloTabela"/>
    <w:uiPriority w:val="99"/>
    <w:locked/>
    <w:rsid w:val="00B52496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B5249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B52496"/>
    <w:pPr>
      <w:ind w:left="480"/>
    </w:pPr>
    <w:rPr>
      <w:i/>
      <w:i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5249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5249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524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249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52496"/>
    <w:rPr>
      <w:b/>
      <w:bCs/>
    </w:rPr>
  </w:style>
  <w:style w:type="character" w:styleId="Emphasis">
    <w:name w:val="Emphasis"/>
    <w:basedOn w:val="DefaultParagraphFont"/>
    <w:uiPriority w:val="99"/>
    <w:qFormat/>
    <w:rsid w:val="00B52496"/>
    <w:rPr>
      <w:i/>
      <w:iCs/>
    </w:rPr>
  </w:style>
  <w:style w:type="paragraph" w:styleId="NoSpacing">
    <w:name w:val="No Spacing"/>
    <w:link w:val="NoSpacingChar"/>
    <w:uiPriority w:val="99"/>
    <w:qFormat/>
    <w:rsid w:val="00B52496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52496"/>
    <w:rPr>
      <w:sz w:val="22"/>
      <w:szCs w:val="22"/>
      <w:lang w:val="pt-PT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52496"/>
  </w:style>
  <w:style w:type="paragraph" w:styleId="Quote">
    <w:name w:val="Quote"/>
    <w:basedOn w:val="Normal"/>
    <w:next w:val="Normal"/>
    <w:link w:val="QuoteChar"/>
    <w:uiPriority w:val="99"/>
    <w:qFormat/>
    <w:rsid w:val="00B5249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5249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5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52496"/>
    <w:rPr>
      <w:b/>
      <w:bCs/>
      <w:i/>
      <w:iCs/>
      <w:color w:val="4F81BD"/>
    </w:rPr>
  </w:style>
  <w:style w:type="character" w:styleId="SubtleEmphasis">
    <w:name w:val="Subtle Emphasis"/>
    <w:aliases w:val="Ênfase Discreto1"/>
    <w:basedOn w:val="DefaultParagraphFont"/>
    <w:uiPriority w:val="99"/>
    <w:qFormat/>
    <w:rsid w:val="00B52496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5249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5249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52496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524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52496"/>
    <w:pPr>
      <w:outlineLvl w:val="9"/>
    </w:pPr>
  </w:style>
  <w:style w:type="table" w:styleId="TableGrid">
    <w:name w:val="Table Grid"/>
    <w:basedOn w:val="TableNormal"/>
    <w:uiPriority w:val="99"/>
    <w:rsid w:val="00AD64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B62"/>
  </w:style>
  <w:style w:type="paragraph" w:styleId="Footer">
    <w:name w:val="footer"/>
    <w:basedOn w:val="Normal"/>
    <w:link w:val="FooterChar"/>
    <w:uiPriority w:val="99"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B62"/>
  </w:style>
  <w:style w:type="paragraph" w:styleId="FootnoteText">
    <w:name w:val="footnote text"/>
    <w:basedOn w:val="Normal"/>
    <w:link w:val="FootnoteTextChar"/>
    <w:uiPriority w:val="99"/>
    <w:semiHidden/>
    <w:rsid w:val="004B1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1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B1118"/>
    <w:rPr>
      <w:vertAlign w:val="superscript"/>
    </w:rPr>
  </w:style>
  <w:style w:type="table" w:styleId="LightList-Accent1">
    <w:name w:val="Light List Accent 1"/>
    <w:basedOn w:val="TableNormal"/>
    <w:uiPriority w:val="99"/>
    <w:rsid w:val="00AF5C91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99"/>
    <w:rsid w:val="00273F5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C808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08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8082B"/>
    <w:rPr>
      <w:vertAlign w:val="superscript"/>
    </w:rPr>
  </w:style>
  <w:style w:type="table" w:styleId="ColorfulShading-Accent5">
    <w:name w:val="Colorful Shading Accent 5"/>
    <w:basedOn w:val="TableNormal"/>
    <w:uiPriority w:val="99"/>
    <w:rsid w:val="0007582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Hyperlink">
    <w:name w:val="Hyperlink"/>
    <w:basedOn w:val="DefaultParagraphFont"/>
    <w:uiPriority w:val="99"/>
    <w:semiHidden/>
    <w:rsid w:val="009D6EB5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11/06/11500/03177031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.pt/pdf1s/2009/10/19700/07482074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.pt/application/file/69906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file/67508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3162</Words>
  <Characters>17080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Integração da Perspetiva da Igualdade entre Homens e Mulheres e Igualdade de Oportunidades e da não descriminação, em operações cofinanciadas</dc:title>
  <dc:subject/>
  <dc:creator>FS</dc:creator>
  <cp:keywords/>
  <dc:description/>
  <cp:lastModifiedBy>cc0100</cp:lastModifiedBy>
  <cp:revision>2</cp:revision>
  <cp:lastPrinted>2015-09-08T17:20:00Z</cp:lastPrinted>
  <dcterms:created xsi:type="dcterms:W3CDTF">2016-01-06T01:45:00Z</dcterms:created>
  <dcterms:modified xsi:type="dcterms:W3CDTF">2016-01-06T01:45:00Z</dcterms:modified>
</cp:coreProperties>
</file>